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CE07" w14:textId="77777777" w:rsidR="002B5B64" w:rsidRPr="005C3036" w:rsidRDefault="002B5B64" w:rsidP="002B5B64">
      <w:pPr>
        <w:spacing w:after="0" w:line="240" w:lineRule="auto"/>
        <w:jc w:val="center"/>
        <w:rPr>
          <w:sz w:val="28"/>
          <w:szCs w:val="28"/>
          <w:lang w:val="uk-UA"/>
        </w:rPr>
      </w:pPr>
      <w:proofErr w:type="spellStart"/>
      <w:r w:rsidRPr="005C3036">
        <w:rPr>
          <w:sz w:val="28"/>
          <w:szCs w:val="28"/>
          <w:lang w:val="uk-UA"/>
        </w:rPr>
        <w:t>Силабус</w:t>
      </w:r>
      <w:proofErr w:type="spellEnd"/>
      <w:r w:rsidRPr="005C3036">
        <w:rPr>
          <w:sz w:val="28"/>
          <w:szCs w:val="28"/>
          <w:lang w:val="uk-UA"/>
        </w:rPr>
        <w:t xml:space="preserve"> навчальної дисципліни</w:t>
      </w:r>
    </w:p>
    <w:p w14:paraId="5DC8B962" w14:textId="77777777" w:rsidR="008E1788" w:rsidRPr="005C3036" w:rsidRDefault="008E1788" w:rsidP="008E1788">
      <w:pPr>
        <w:spacing w:after="0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B4688E" w:rsidRPr="005C3036" w14:paraId="5922C1D1" w14:textId="77777777" w:rsidTr="00C27C1E">
        <w:tc>
          <w:tcPr>
            <w:tcW w:w="566" w:type="dxa"/>
            <w:vAlign w:val="center"/>
          </w:tcPr>
          <w:p w14:paraId="787CD271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14:paraId="67A24431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14:paraId="571EF17A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14:paraId="2572495E" w14:textId="77777777" w:rsidR="00C1747F" w:rsidRPr="005C3036" w:rsidRDefault="00C1747F" w:rsidP="00C1747F">
      <w:pPr>
        <w:spacing w:after="0" w:line="14" w:lineRule="exact"/>
        <w:rPr>
          <w:sz w:val="2"/>
          <w:szCs w:val="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0C2EBA" w:rsidRPr="005C3036" w14:paraId="3D6F4DAA" w14:textId="77777777" w:rsidTr="00C1747F">
        <w:trPr>
          <w:tblHeader/>
        </w:trPr>
        <w:tc>
          <w:tcPr>
            <w:tcW w:w="566" w:type="dxa"/>
            <w:vAlign w:val="center"/>
          </w:tcPr>
          <w:p w14:paraId="2C7557D8" w14:textId="77777777" w:rsidR="000C2EBA" w:rsidRPr="005C3036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14:paraId="2CB7B1E4" w14:textId="77777777" w:rsidR="000C2EBA" w:rsidRPr="005C3036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 w:rsidRPr="005C3036"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1E30490E" w14:textId="77777777" w:rsidR="000C2EBA" w:rsidRPr="005C3036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 w:rsidRPr="005C3036"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5C3036" w14:paraId="335DF5F2" w14:textId="77777777" w:rsidTr="00C27C1E">
        <w:tc>
          <w:tcPr>
            <w:tcW w:w="566" w:type="dxa"/>
            <w:vAlign w:val="center"/>
          </w:tcPr>
          <w:p w14:paraId="720359B5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14:paraId="059564A0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14:paraId="4F4208F1" w14:textId="77777777" w:rsidR="00B4688E" w:rsidRPr="005C3036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5C3036" w14:paraId="1E762569" w14:textId="77777777" w:rsidTr="00C27C1E">
        <w:tc>
          <w:tcPr>
            <w:tcW w:w="566" w:type="dxa"/>
            <w:vAlign w:val="center"/>
          </w:tcPr>
          <w:p w14:paraId="36B10A13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14:paraId="40DC477B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 xml:space="preserve">Рівень </w:t>
            </w:r>
            <w:r w:rsidRPr="005C3036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14:paraId="5DAF0596" w14:textId="77777777" w:rsidR="00B4688E" w:rsidRPr="005C3036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Магістерський</w:t>
            </w:r>
          </w:p>
        </w:tc>
      </w:tr>
      <w:tr w:rsidR="00B4688E" w:rsidRPr="005C3036" w14:paraId="5B8ED389" w14:textId="77777777" w:rsidTr="00C27C1E">
        <w:tc>
          <w:tcPr>
            <w:tcW w:w="566" w:type="dxa"/>
            <w:vAlign w:val="center"/>
          </w:tcPr>
          <w:p w14:paraId="3585DF6C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14:paraId="6BD90780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14:paraId="0001AE78" w14:textId="3314B4C7" w:rsidR="00B4688E" w:rsidRPr="005C3036" w:rsidRDefault="00034D98" w:rsidP="00A34081">
            <w:pPr>
              <w:spacing w:after="0" w:line="240" w:lineRule="auto"/>
              <w:rPr>
                <w:szCs w:val="24"/>
                <w:lang w:val="uk-UA"/>
              </w:rPr>
            </w:pPr>
            <w:r>
              <w:rPr>
                <w:szCs w:val="24"/>
              </w:rPr>
              <w:t>F7</w:t>
            </w:r>
            <w:r w:rsidR="00B4688E" w:rsidRPr="005C3036">
              <w:rPr>
                <w:szCs w:val="24"/>
                <w:lang w:val="uk-UA"/>
              </w:rPr>
              <w:t xml:space="preserve"> Комп’ютерна інженерія</w:t>
            </w:r>
          </w:p>
        </w:tc>
      </w:tr>
      <w:tr w:rsidR="00B4688E" w:rsidRPr="005C3036" w14:paraId="5B4539D2" w14:textId="77777777" w:rsidTr="00C27C1E">
        <w:trPr>
          <w:trHeight w:val="637"/>
        </w:trPr>
        <w:tc>
          <w:tcPr>
            <w:tcW w:w="566" w:type="dxa"/>
            <w:vAlign w:val="center"/>
          </w:tcPr>
          <w:p w14:paraId="1156137A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14:paraId="2E35F574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Тип і</w:t>
            </w:r>
            <w:r w:rsidRPr="005C3036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14:paraId="67163D94" w14:textId="3613F1D4" w:rsidR="00B4688E" w:rsidRPr="005C3036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 xml:space="preserve"> «Комп’ютерні інтелектуальні технології»</w:t>
            </w:r>
          </w:p>
        </w:tc>
      </w:tr>
      <w:tr w:rsidR="00B4688E" w:rsidRPr="005C3036" w14:paraId="1286D4A1" w14:textId="77777777" w:rsidTr="00C27C1E">
        <w:tc>
          <w:tcPr>
            <w:tcW w:w="566" w:type="dxa"/>
            <w:vAlign w:val="center"/>
          </w:tcPr>
          <w:p w14:paraId="09C80C14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14:paraId="5A840620" w14:textId="77777777" w:rsidR="00B4688E" w:rsidRPr="005C3036" w:rsidRDefault="0024461C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Н</w:t>
            </w:r>
            <w:r w:rsidR="00B4688E" w:rsidRPr="005C3036">
              <w:rPr>
                <w:rStyle w:val="Bodytext20"/>
                <w:sz w:val="24"/>
                <w:szCs w:val="24"/>
              </w:rPr>
              <w:t>азва дисципліни</w:t>
            </w:r>
          </w:p>
        </w:tc>
        <w:tc>
          <w:tcPr>
            <w:tcW w:w="6423" w:type="dxa"/>
            <w:vAlign w:val="center"/>
          </w:tcPr>
          <w:p w14:paraId="15EBCF92" w14:textId="77777777" w:rsidR="00B4688E" w:rsidRPr="005C3036" w:rsidRDefault="000F3C12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8"/>
                <w:lang w:val="uk-UA"/>
              </w:rPr>
              <w:t>Мультиагентні системи</w:t>
            </w:r>
          </w:p>
        </w:tc>
      </w:tr>
      <w:tr w:rsidR="00B4688E" w:rsidRPr="005C3036" w14:paraId="1516870A" w14:textId="77777777" w:rsidTr="00C27C1E">
        <w:tc>
          <w:tcPr>
            <w:tcW w:w="566" w:type="dxa"/>
            <w:vAlign w:val="center"/>
          </w:tcPr>
          <w:p w14:paraId="5997EDFE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14:paraId="34920A62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14:paraId="61A514A9" w14:textId="77777777" w:rsidR="00B4688E" w:rsidRPr="005C3036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4</w:t>
            </w:r>
          </w:p>
        </w:tc>
      </w:tr>
      <w:tr w:rsidR="00B4688E" w:rsidRPr="005C3036" w14:paraId="4D8AB522" w14:textId="77777777" w:rsidTr="00A34081">
        <w:tc>
          <w:tcPr>
            <w:tcW w:w="566" w:type="dxa"/>
            <w:vAlign w:val="center"/>
          </w:tcPr>
          <w:p w14:paraId="1C4756D6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14:paraId="77DB1F2A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14:paraId="2C477CC7" w14:textId="77777777" w:rsidR="00B4688E" w:rsidRPr="005C3036" w:rsidRDefault="00A34081" w:rsidP="00402224">
            <w:pPr>
              <w:spacing w:after="0"/>
              <w:rPr>
                <w:lang w:val="uk-UA"/>
              </w:rPr>
            </w:pPr>
            <w:r w:rsidRPr="005C3036">
              <w:rPr>
                <w:lang w:val="uk-UA"/>
              </w:rPr>
              <w:t>2</w:t>
            </w:r>
            <w:r w:rsidR="00135301">
              <w:rPr>
                <w:lang w:val="uk-UA"/>
              </w:rPr>
              <w:t>4</w:t>
            </w:r>
            <w:r w:rsidRPr="005C3036">
              <w:rPr>
                <w:lang w:val="uk-UA"/>
              </w:rPr>
              <w:t xml:space="preserve"> г. – 1</w:t>
            </w:r>
            <w:r w:rsidR="00135301">
              <w:rPr>
                <w:lang w:val="uk-UA"/>
              </w:rPr>
              <w:t>2</w:t>
            </w:r>
            <w:r w:rsidRPr="005C3036">
              <w:rPr>
                <w:lang w:val="uk-UA"/>
              </w:rPr>
              <w:t xml:space="preserve"> </w:t>
            </w:r>
            <w:proofErr w:type="spellStart"/>
            <w:r w:rsidRPr="005C3036">
              <w:rPr>
                <w:lang w:val="uk-UA"/>
              </w:rPr>
              <w:t>лк</w:t>
            </w:r>
            <w:proofErr w:type="spellEnd"/>
            <w:r w:rsidRPr="005C3036">
              <w:rPr>
                <w:lang w:val="uk-UA"/>
              </w:rPr>
              <w:t>, 1</w:t>
            </w:r>
            <w:r w:rsidR="00135301">
              <w:rPr>
                <w:lang w:val="uk-UA"/>
              </w:rPr>
              <w:t>6</w:t>
            </w:r>
            <w:r w:rsidRPr="005C3036">
              <w:rPr>
                <w:lang w:val="uk-UA"/>
              </w:rPr>
              <w:t xml:space="preserve"> г. – </w:t>
            </w:r>
            <w:r w:rsidR="00135301">
              <w:rPr>
                <w:lang w:val="uk-UA"/>
              </w:rPr>
              <w:t>4</w:t>
            </w:r>
            <w:r w:rsidRPr="005C3036">
              <w:rPr>
                <w:lang w:val="uk-UA"/>
              </w:rPr>
              <w:t xml:space="preserve"> </w:t>
            </w:r>
            <w:proofErr w:type="spellStart"/>
            <w:r w:rsidRPr="005C3036">
              <w:rPr>
                <w:lang w:val="uk-UA"/>
              </w:rPr>
              <w:t>лб</w:t>
            </w:r>
            <w:proofErr w:type="spellEnd"/>
            <w:r w:rsidRPr="005C3036">
              <w:rPr>
                <w:lang w:val="uk-UA"/>
              </w:rPr>
              <w:t xml:space="preserve">, </w:t>
            </w:r>
            <w:r w:rsidR="00F56E9E">
              <w:rPr>
                <w:lang w:val="uk-UA"/>
              </w:rPr>
              <w:t>8</w:t>
            </w:r>
            <w:r w:rsidR="008E1788" w:rsidRPr="005C3036">
              <w:rPr>
                <w:lang w:val="uk-UA"/>
              </w:rPr>
              <w:t xml:space="preserve"> </w:t>
            </w:r>
            <w:r w:rsidRPr="005C3036">
              <w:rPr>
                <w:lang w:val="uk-UA"/>
              </w:rPr>
              <w:t xml:space="preserve">г. – </w:t>
            </w:r>
            <w:r w:rsidR="00F56E9E">
              <w:rPr>
                <w:lang w:val="uk-UA"/>
              </w:rPr>
              <w:t>4</w:t>
            </w:r>
            <w:r w:rsidRPr="005C3036">
              <w:rPr>
                <w:lang w:val="uk-UA"/>
              </w:rPr>
              <w:t xml:space="preserve"> </w:t>
            </w:r>
            <w:proofErr w:type="spellStart"/>
            <w:r w:rsidRPr="005C3036">
              <w:rPr>
                <w:lang w:val="uk-UA"/>
              </w:rPr>
              <w:t>конс</w:t>
            </w:r>
            <w:proofErr w:type="spellEnd"/>
            <w:r w:rsidRPr="005C3036">
              <w:rPr>
                <w:lang w:val="uk-UA"/>
              </w:rPr>
              <w:t xml:space="preserve">., </w:t>
            </w:r>
            <w:r w:rsidR="00402224" w:rsidRPr="005C3036">
              <w:rPr>
                <w:lang w:val="uk-UA"/>
              </w:rPr>
              <w:t>7</w:t>
            </w:r>
            <w:r w:rsidR="00F56E9E">
              <w:rPr>
                <w:lang w:val="uk-UA"/>
              </w:rPr>
              <w:t>2</w:t>
            </w:r>
            <w:r w:rsidRPr="005C3036">
              <w:rPr>
                <w:lang w:val="uk-UA"/>
              </w:rPr>
              <w:t xml:space="preserve"> г. - самостійна робота,  вид контролю: </w:t>
            </w:r>
            <w:r w:rsidR="002260C9" w:rsidRPr="005C3036">
              <w:rPr>
                <w:szCs w:val="28"/>
                <w:lang w:val="uk-UA"/>
              </w:rPr>
              <w:t>залік</w:t>
            </w:r>
          </w:p>
        </w:tc>
      </w:tr>
      <w:tr w:rsidR="00B4688E" w:rsidRPr="005C3036" w14:paraId="7AC8A9B1" w14:textId="77777777" w:rsidTr="00C27C1E">
        <w:tc>
          <w:tcPr>
            <w:tcW w:w="566" w:type="dxa"/>
            <w:vAlign w:val="center"/>
          </w:tcPr>
          <w:p w14:paraId="5D53C732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14:paraId="720DADF1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14:paraId="11D6DC28" w14:textId="77777777" w:rsidR="00B4688E" w:rsidRPr="005C3036" w:rsidRDefault="00A34081" w:rsidP="002260C9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 xml:space="preserve">1-й рік, </w:t>
            </w:r>
            <w:r w:rsidR="002260C9" w:rsidRPr="005C3036">
              <w:rPr>
                <w:szCs w:val="24"/>
                <w:lang w:val="uk-UA"/>
              </w:rPr>
              <w:t>2</w:t>
            </w:r>
            <w:r w:rsidRPr="005C3036">
              <w:rPr>
                <w:szCs w:val="24"/>
                <w:lang w:val="uk-UA"/>
              </w:rPr>
              <w:t>-й семестр</w:t>
            </w:r>
          </w:p>
        </w:tc>
      </w:tr>
      <w:tr w:rsidR="00B4688E" w:rsidRPr="005C3036" w14:paraId="6D830D9E" w14:textId="77777777" w:rsidTr="00DB6C32">
        <w:tc>
          <w:tcPr>
            <w:tcW w:w="566" w:type="dxa"/>
            <w:vAlign w:val="center"/>
          </w:tcPr>
          <w:p w14:paraId="7F22F038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14:paraId="7A669D89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14:paraId="4DB68116" w14:textId="77777777" w:rsidR="00B4688E" w:rsidRPr="005C3036" w:rsidRDefault="00DB6C32" w:rsidP="00FC7B08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bookmarkStart w:id="0" w:name="_Hlk86834664"/>
            <w:r w:rsidRPr="005C3036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="00FC7B08" w:rsidRPr="005C3036">
              <w:rPr>
                <w:szCs w:val="20"/>
                <w:lang w:val="uk-UA"/>
              </w:rPr>
              <w:t>«Основи наукових досліджень, організація науки та авторське право», «Інтелектуальні комп’ютерні системи».</w:t>
            </w:r>
            <w:bookmarkEnd w:id="0"/>
          </w:p>
        </w:tc>
      </w:tr>
      <w:tr w:rsidR="00B4688E" w:rsidRPr="005C3036" w14:paraId="4FD3D90E" w14:textId="77777777" w:rsidTr="00C27C1E">
        <w:tc>
          <w:tcPr>
            <w:tcW w:w="566" w:type="dxa"/>
            <w:vAlign w:val="center"/>
          </w:tcPr>
          <w:p w14:paraId="57AE646D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14:paraId="584F9784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14:paraId="00748EB4" w14:textId="77777777" w:rsidR="002A6719" w:rsidRPr="002A6719" w:rsidRDefault="002A6719" w:rsidP="002A6719">
            <w:p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rPr>
                <w:lang w:val="uk-UA"/>
              </w:rPr>
            </w:pPr>
            <w:bookmarkStart w:id="1" w:name="_GoBack"/>
            <w:bookmarkEnd w:id="1"/>
            <w:r w:rsidRPr="00956153">
              <w:rPr>
                <w:szCs w:val="24"/>
                <w:lang w:val="uk-UA"/>
              </w:rPr>
              <w:t>Вибіркова навчальна дисципліна професійної та практичної підготовки, містить змістові модулі:</w:t>
            </w:r>
          </w:p>
          <w:p w14:paraId="12934A83" w14:textId="752E63DE" w:rsidR="002A6719" w:rsidRPr="002A6719" w:rsidRDefault="00DD1B79" w:rsidP="002A6719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DD1B79">
              <w:rPr>
                <w:lang w:val="uk-UA"/>
              </w:rPr>
              <w:t>Теоретичні основи мультиагентних систем</w:t>
            </w:r>
            <w:r w:rsidR="002A6719">
              <w:rPr>
                <w:lang w:val="uk-UA"/>
              </w:rPr>
              <w:t>.</w:t>
            </w:r>
          </w:p>
          <w:p w14:paraId="379E4322" w14:textId="62C3FE2B" w:rsidR="00B4688E" w:rsidRDefault="00DD1B79" w:rsidP="002A6719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DD1B79">
              <w:rPr>
                <w:szCs w:val="28"/>
                <w:lang w:val="uk-UA"/>
              </w:rPr>
              <w:t>Кооперація, знання та реалізація мультиагентних систем</w:t>
            </w:r>
            <w:r w:rsidR="003A21A9" w:rsidRPr="005C3036">
              <w:rPr>
                <w:lang w:val="uk-UA"/>
              </w:rPr>
              <w:t>.</w:t>
            </w:r>
            <w:r w:rsidR="002A6719">
              <w:rPr>
                <w:lang w:val="uk-UA"/>
              </w:rPr>
              <w:t xml:space="preserve"> </w:t>
            </w:r>
          </w:p>
          <w:p w14:paraId="4D822F87" w14:textId="2EF74F05" w:rsidR="00E52AE3" w:rsidRDefault="002A6719" w:rsidP="00195070">
            <w:p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rPr>
                <w:szCs w:val="24"/>
                <w:lang w:val="uk-UA" w:eastAsia="uk-UA"/>
              </w:rPr>
            </w:pPr>
            <w:r w:rsidRPr="00956153">
              <w:rPr>
                <w:szCs w:val="24"/>
                <w:lang w:val="uk-UA"/>
              </w:rPr>
              <w:t>Тематика лекційного блоку.</w:t>
            </w:r>
            <w:r w:rsidR="00E52AE3">
              <w:rPr>
                <w:szCs w:val="24"/>
                <w:lang w:val="uk-UA"/>
              </w:rPr>
              <w:t xml:space="preserve"> </w:t>
            </w:r>
            <w:r w:rsidR="00DD1B79" w:rsidRPr="00DD1B79">
              <w:rPr>
                <w:szCs w:val="24"/>
                <w:lang w:val="uk-UA"/>
              </w:rPr>
              <w:t>Предмет і завдання дисципліни «Мультиагентні системи». Поняття агента. Властивості агентів та порівняння з об’єктами. Мультиагентні системи (МАС): визначення, архітектура та сфери застосування. Проблеми та виклики в МАС. Комунікація в мультиагентних системах. Спільна робота агентів. Кооперація, координація, переговори.</w:t>
            </w:r>
            <w:r w:rsidR="00DD1B79">
              <w:rPr>
                <w:szCs w:val="24"/>
                <w:lang w:val="uk-UA"/>
              </w:rPr>
              <w:t xml:space="preserve"> </w:t>
            </w:r>
            <w:r w:rsidR="00DD1B79" w:rsidRPr="00DD1B79">
              <w:rPr>
                <w:szCs w:val="24"/>
                <w:lang w:val="uk-UA"/>
              </w:rPr>
              <w:t xml:space="preserve">Онтології в мультиагентних системах. Технології та мови опису </w:t>
            </w:r>
            <w:proofErr w:type="spellStart"/>
            <w:r w:rsidR="00DD1B79" w:rsidRPr="00DD1B79">
              <w:rPr>
                <w:szCs w:val="24"/>
                <w:lang w:val="uk-UA"/>
              </w:rPr>
              <w:t>онтологій</w:t>
            </w:r>
            <w:proofErr w:type="spellEnd"/>
            <w:r w:rsidR="00DD1B79" w:rsidRPr="00DD1B79">
              <w:rPr>
                <w:szCs w:val="24"/>
                <w:lang w:val="uk-UA"/>
              </w:rPr>
              <w:t>. OWL, RDF(S), SWRL</w:t>
            </w:r>
            <w:r w:rsidR="00DD1B79">
              <w:rPr>
                <w:szCs w:val="24"/>
                <w:lang w:val="uk-UA"/>
              </w:rPr>
              <w:t xml:space="preserve"> </w:t>
            </w:r>
            <w:proofErr w:type="spellStart"/>
            <w:r w:rsidR="00DD1B79" w:rsidRPr="00DD1B79">
              <w:rPr>
                <w:szCs w:val="24"/>
                <w:lang w:val="uk-UA"/>
              </w:rPr>
              <w:t>Агентні</w:t>
            </w:r>
            <w:proofErr w:type="spellEnd"/>
            <w:r w:rsidR="00DD1B79" w:rsidRPr="00DD1B79">
              <w:rPr>
                <w:szCs w:val="24"/>
                <w:lang w:val="uk-UA"/>
              </w:rPr>
              <w:t xml:space="preserve"> платформи та інструменти. Огляд JADE, SPADE</w:t>
            </w:r>
            <w:r w:rsidR="00DD1B79">
              <w:rPr>
                <w:szCs w:val="24"/>
                <w:lang w:val="uk-UA"/>
              </w:rPr>
              <w:t xml:space="preserve">. </w:t>
            </w:r>
            <w:r w:rsidR="00DD1B79" w:rsidRPr="00DD1B79">
              <w:rPr>
                <w:szCs w:val="24"/>
                <w:lang w:val="uk-UA"/>
              </w:rPr>
              <w:t xml:space="preserve">Навчання та інтелектуальна поведінка агентів. </w:t>
            </w:r>
          </w:p>
          <w:p w14:paraId="16662ACF" w14:textId="77777777" w:rsidR="00236801" w:rsidRDefault="00236801" w:rsidP="00E52AE3">
            <w:p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rPr>
                <w:szCs w:val="24"/>
                <w:lang w:val="uk-UA"/>
              </w:rPr>
            </w:pPr>
          </w:p>
          <w:p w14:paraId="6884F5BA" w14:textId="7EEE5520" w:rsidR="002A6719" w:rsidRPr="009B4EE3" w:rsidRDefault="00236801" w:rsidP="00E52AE3">
            <w:p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rPr>
                <w:szCs w:val="24"/>
              </w:rPr>
            </w:pPr>
            <w:r w:rsidRPr="00956153">
              <w:rPr>
                <w:szCs w:val="24"/>
                <w:lang w:val="uk-UA"/>
              </w:rPr>
              <w:t>Тематика лабораторного практикуму.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="00306D0E" w:rsidRPr="00963914">
              <w:rPr>
                <w:szCs w:val="24"/>
                <w:lang w:val="uk-UA"/>
              </w:rPr>
              <w:t>Агентне</w:t>
            </w:r>
            <w:proofErr w:type="spellEnd"/>
            <w:r w:rsidR="00306D0E" w:rsidRPr="00963914">
              <w:rPr>
                <w:szCs w:val="24"/>
                <w:lang w:val="uk-UA"/>
              </w:rPr>
              <w:t xml:space="preserve"> моделювання </w:t>
            </w:r>
            <w:proofErr w:type="spellStart"/>
            <w:r w:rsidR="00306D0E" w:rsidRPr="00963914">
              <w:rPr>
                <w:szCs w:val="24"/>
                <w:lang w:val="uk-UA"/>
              </w:rPr>
              <w:t>NetLogo</w:t>
            </w:r>
            <w:proofErr w:type="spellEnd"/>
            <w:r w:rsidR="00306D0E">
              <w:rPr>
                <w:szCs w:val="24"/>
                <w:lang w:val="uk-UA"/>
              </w:rPr>
              <w:t>.</w:t>
            </w:r>
            <w:r w:rsidR="00306D0E" w:rsidRPr="00236801">
              <w:rPr>
                <w:szCs w:val="24"/>
                <w:lang w:val="uk-UA"/>
              </w:rPr>
              <w:t xml:space="preserve"> </w:t>
            </w:r>
            <w:r w:rsidR="009B4EE3" w:rsidRPr="009B4EE3">
              <w:rPr>
                <w:szCs w:val="24"/>
                <w:lang w:val="uk-UA"/>
              </w:rPr>
              <w:t>В</w:t>
            </w:r>
            <w:r w:rsidR="009B4EE3" w:rsidRPr="009B4EE3">
              <w:rPr>
                <w:szCs w:val="24"/>
                <w:lang w:val="uk-UA"/>
              </w:rPr>
              <w:t xml:space="preserve">икористання геоінформаційних систем в </w:t>
            </w:r>
            <w:proofErr w:type="spellStart"/>
            <w:r w:rsidR="009B4EE3" w:rsidRPr="009B4EE3">
              <w:rPr>
                <w:szCs w:val="24"/>
                <w:lang w:val="uk-UA"/>
              </w:rPr>
              <w:t>агентному</w:t>
            </w:r>
            <w:proofErr w:type="spellEnd"/>
            <w:r w:rsidR="009B4EE3" w:rsidRPr="009B4EE3">
              <w:rPr>
                <w:szCs w:val="24"/>
                <w:lang w:val="uk-UA"/>
              </w:rPr>
              <w:t xml:space="preserve"> моделюванні</w:t>
            </w:r>
            <w:r w:rsidR="009B4EE3">
              <w:rPr>
                <w:szCs w:val="24"/>
                <w:lang w:val="uk-UA"/>
              </w:rPr>
              <w:t>.</w:t>
            </w:r>
            <w:r w:rsidR="009B4EE3" w:rsidRPr="009B4EE3">
              <w:rPr>
                <w:szCs w:val="24"/>
                <w:lang w:val="uk-UA"/>
              </w:rPr>
              <w:t xml:space="preserve"> </w:t>
            </w:r>
            <w:r w:rsidR="009B4EE3">
              <w:rPr>
                <w:szCs w:val="28"/>
                <w:lang w:val="uk-UA"/>
              </w:rPr>
              <w:t xml:space="preserve"> </w:t>
            </w:r>
            <w:r w:rsidR="009B4EE3" w:rsidRPr="009B4EE3">
              <w:rPr>
                <w:szCs w:val="28"/>
                <w:lang w:val="uk-UA"/>
              </w:rPr>
              <w:t>Мультиагентна платформа JADE</w:t>
            </w:r>
            <w:r w:rsidR="009B4EE3">
              <w:rPr>
                <w:szCs w:val="28"/>
              </w:rPr>
              <w:t>/</w:t>
            </w:r>
            <w:r w:rsidR="009B4EE3" w:rsidRPr="009B4EE3">
              <w:rPr>
                <w:szCs w:val="28"/>
              </w:rPr>
              <w:t>SPADE</w:t>
            </w:r>
            <w:r>
              <w:rPr>
                <w:szCs w:val="24"/>
                <w:lang w:val="uk-UA" w:eastAsia="uk-UA"/>
              </w:rPr>
              <w:t>.</w:t>
            </w:r>
            <w:r w:rsidR="009B4EE3">
              <w:rPr>
                <w:szCs w:val="24"/>
                <w:lang w:eastAsia="uk-UA"/>
              </w:rPr>
              <w:t xml:space="preserve"> </w:t>
            </w:r>
            <w:proofErr w:type="spellStart"/>
            <w:r w:rsidR="009B4EE3" w:rsidRPr="009B4EE3">
              <w:rPr>
                <w:szCs w:val="24"/>
                <w:lang w:eastAsia="uk-UA"/>
              </w:rPr>
              <w:t>Онтології</w:t>
            </w:r>
            <w:proofErr w:type="spellEnd"/>
            <w:r w:rsidR="009B4EE3" w:rsidRPr="009B4EE3">
              <w:rPr>
                <w:szCs w:val="24"/>
                <w:lang w:eastAsia="uk-UA"/>
              </w:rPr>
              <w:t xml:space="preserve"> в JADE</w:t>
            </w:r>
            <w:r w:rsidR="009B4EE3">
              <w:rPr>
                <w:szCs w:val="28"/>
              </w:rPr>
              <w:t>/</w:t>
            </w:r>
            <w:r w:rsidR="009B4EE3" w:rsidRPr="009B4EE3">
              <w:rPr>
                <w:szCs w:val="28"/>
              </w:rPr>
              <w:t>SPADE</w:t>
            </w:r>
          </w:p>
        </w:tc>
      </w:tr>
      <w:tr w:rsidR="00B4688E" w:rsidRPr="005C3036" w14:paraId="27A98BC0" w14:textId="77777777" w:rsidTr="00197FF0">
        <w:tc>
          <w:tcPr>
            <w:tcW w:w="566" w:type="dxa"/>
            <w:vAlign w:val="center"/>
          </w:tcPr>
          <w:p w14:paraId="0D3ACAED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bookmarkStart w:id="2" w:name="_Hlk86834474"/>
            <w:r w:rsidRPr="005C3036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14:paraId="23879B99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 xml:space="preserve">Компетентності, знання, вміння, розуміння, якими оволодіє здобувач </w:t>
            </w:r>
            <w:r w:rsidRPr="005C3036">
              <w:rPr>
                <w:rStyle w:val="Bodytext20"/>
                <w:sz w:val="24"/>
                <w:szCs w:val="24"/>
              </w:rPr>
              <w:lastRenderedPageBreak/>
              <w:t>вищої освіти в процесі навчання</w:t>
            </w:r>
          </w:p>
        </w:tc>
        <w:tc>
          <w:tcPr>
            <w:tcW w:w="6423" w:type="dxa"/>
            <w:vAlign w:val="center"/>
          </w:tcPr>
          <w:p w14:paraId="24690A96" w14:textId="77777777" w:rsidR="003A25F1" w:rsidRPr="003A25F1" w:rsidRDefault="003A25F1" w:rsidP="003A25F1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3A25F1">
              <w:rPr>
                <w:lang w:val="uk-UA"/>
              </w:rPr>
              <w:lastRenderedPageBreak/>
              <w:t>Здатність до абстрактного мислення, аналізу і синтезу.</w:t>
            </w:r>
          </w:p>
          <w:p w14:paraId="6CC7D356" w14:textId="77777777" w:rsidR="003A25F1" w:rsidRPr="003A25F1" w:rsidRDefault="003A25F1" w:rsidP="003A25F1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4"/>
                <w:lang w:val="uk-UA"/>
              </w:rPr>
            </w:pPr>
            <w:r w:rsidRPr="003A25F1">
              <w:rPr>
                <w:lang w:val="uk-UA"/>
              </w:rPr>
              <w:t>Здатність до пошуку, оброблення та аналізу інформації з різних джерел/ Здатність генерувати нові ідеї (креативність).</w:t>
            </w:r>
            <w:r w:rsidR="00310490">
              <w:rPr>
                <w:lang w:val="uk-UA"/>
              </w:rPr>
              <w:t xml:space="preserve"> </w:t>
            </w:r>
            <w:r w:rsidRPr="003A25F1">
              <w:rPr>
                <w:lang w:val="uk-UA"/>
              </w:rPr>
              <w:t>Здатність виявляти, ставити та вирішувати проблеми.</w:t>
            </w:r>
            <w:r w:rsidR="00310490">
              <w:rPr>
                <w:lang w:val="uk-UA"/>
              </w:rPr>
              <w:t xml:space="preserve"> </w:t>
            </w:r>
            <w:r w:rsidRPr="003A25F1">
              <w:rPr>
                <w:lang w:val="uk-UA"/>
              </w:rPr>
              <w:t>Здатність приймати обґрунтовані рішення.</w:t>
            </w:r>
            <w:r w:rsidR="00310490">
              <w:rPr>
                <w:lang w:val="uk-UA"/>
              </w:rPr>
              <w:t xml:space="preserve"> </w:t>
            </w:r>
            <w:r w:rsidRPr="003A25F1">
              <w:rPr>
                <w:lang w:val="uk-UA"/>
              </w:rPr>
              <w:t xml:space="preserve">Здатність </w:t>
            </w:r>
            <w:r w:rsidRPr="003A25F1">
              <w:rPr>
                <w:lang w:val="uk-UA"/>
              </w:rPr>
              <w:lastRenderedPageBreak/>
              <w:t xml:space="preserve">спілкуватися іноземною мовою. </w:t>
            </w:r>
            <w:r w:rsidRPr="003A25F1">
              <w:rPr>
                <w:szCs w:val="24"/>
                <w:lang w:val="uk-UA"/>
              </w:rPr>
              <w:t xml:space="preserve">Здатність до визначення технічних характеристик, конструктивних особливостей, застосування і експлуатації програмних, програмно-технічних засобів, комп’ютерних систем та мереж різного призначення. Здатність розробляти алгоритмічне та програмне забезпечення, компоненти комп’ютерних систем та мереж, Інтернет додатків, </w:t>
            </w:r>
            <w:proofErr w:type="spellStart"/>
            <w:r w:rsidRPr="003A25F1">
              <w:rPr>
                <w:szCs w:val="24"/>
                <w:lang w:val="uk-UA"/>
              </w:rPr>
              <w:t>кіберфізичних</w:t>
            </w:r>
            <w:proofErr w:type="spellEnd"/>
            <w:r w:rsidRPr="003A25F1">
              <w:rPr>
                <w:szCs w:val="24"/>
                <w:lang w:val="uk-UA"/>
              </w:rPr>
              <w:t xml:space="preserve"> систем з використанням сучасних методів і мов програмування, засобів і систем автоматизації проектування. Здатність проектувати комп’ютерні системи та мережі з урахуванням цілей, обмежень, технічних, економічних та правових аспектів. </w:t>
            </w:r>
            <w:r w:rsidRPr="003A25F1">
              <w:rPr>
                <w:spacing w:val="-8"/>
                <w:szCs w:val="24"/>
                <w:lang w:val="uk-UA"/>
              </w:rPr>
              <w:t xml:space="preserve">Здатність будувати архітектуру та створювати системне і прикладне програмне забезпечення комп’ютерних систем та мереж. </w:t>
            </w:r>
            <w:r w:rsidRPr="003A25F1">
              <w:rPr>
                <w:szCs w:val="24"/>
                <w:lang w:val="uk-UA"/>
              </w:rPr>
              <w:t>Здатність використовувати та впроваджувати нові технології, включаючи технології розумних, мобільних, зелених, хмарних, розподілених і безпечних обчислень, брати участь в модернізації та реконструкції комп’ютерних систем та мереж, різноманітних вбудованих і розподілених додатків, зокрема з метою підвищення їх ефективності. Здатність забезпечувати якість продуктів і сервісів інформаційних технологій на протязі їх життєвого циклу. Здатність ідентифікувати, класифікувати та описувати роботу програмно-технічних засобів, комп’ютерних систем, мереж та їхніх компонентів. Здатність розробляти та обирати інструментальні засоби проектування інтелектуальних комп’ютерних систем та мереж.</w:t>
            </w:r>
          </w:p>
          <w:p w14:paraId="490388F2" w14:textId="77777777" w:rsidR="0024461C" w:rsidRPr="003A25F1" w:rsidRDefault="003A25F1" w:rsidP="003A25F1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3A25F1">
              <w:rPr>
                <w:szCs w:val="24"/>
                <w:lang w:val="uk-UA"/>
              </w:rPr>
              <w:t>Здатність за результатами проведених досліджень складати програми інтелектуальної обробки даних, аналізу результатів та формування висновків.</w:t>
            </w:r>
          </w:p>
        </w:tc>
      </w:tr>
      <w:tr w:rsidR="00B4688E" w:rsidRPr="005C3036" w14:paraId="796E75C8" w14:textId="77777777" w:rsidTr="00C1747F">
        <w:trPr>
          <w:trHeight w:val="249"/>
        </w:trPr>
        <w:tc>
          <w:tcPr>
            <w:tcW w:w="566" w:type="dxa"/>
            <w:vAlign w:val="center"/>
          </w:tcPr>
          <w:p w14:paraId="2E630471" w14:textId="77777777" w:rsidR="00B4688E" w:rsidRPr="005C3036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bookmarkStart w:id="3" w:name="_Hlk86834566"/>
            <w:bookmarkEnd w:id="2"/>
            <w:r w:rsidRPr="005C3036">
              <w:rPr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690" w:type="dxa"/>
            <w:vAlign w:val="center"/>
          </w:tcPr>
          <w:p w14:paraId="27AE25AA" w14:textId="77777777" w:rsidR="00B4688E" w:rsidRPr="005C3036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14:paraId="5EE7B097" w14:textId="77777777" w:rsidR="00B4688E" w:rsidRPr="005C3036" w:rsidRDefault="003A25F1" w:rsidP="00C36398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8"/>
                <w:lang w:val="uk-UA"/>
              </w:rPr>
            </w:pPr>
            <w:r w:rsidRPr="003A25F1">
              <w:rPr>
                <w:lang w:val="uk-UA"/>
              </w:rPr>
              <w:t>Застосовувати загальні підходи пізнання, методи математики, природничих та інженерних наук до розв’язання складних задач комп’ютерної інженерії.</w:t>
            </w:r>
            <w:r>
              <w:rPr>
                <w:lang w:val="uk-UA"/>
              </w:rPr>
              <w:t xml:space="preserve"> </w:t>
            </w:r>
            <w:r w:rsidRPr="003A25F1">
              <w:rPr>
                <w:lang w:val="uk-UA"/>
              </w:rPr>
              <w:t>Будувати та досліджувати моделі комп’ютерних систем і мереж, оцінювати їх адекватність, визначати межі застосовності</w:t>
            </w:r>
            <w:r>
              <w:rPr>
                <w:lang w:val="uk-UA"/>
              </w:rPr>
              <w:t xml:space="preserve">. </w:t>
            </w:r>
            <w:r w:rsidRPr="00911A3E">
              <w:rPr>
                <w:szCs w:val="24"/>
                <w:lang w:val="uk-UA"/>
              </w:rPr>
              <w:t>Застосовувати спеціалізовані концептуальні знання, що включають сучасні наукові здобутки у сфері комп’ютерної інженерії, необхідні для професійної діяльності, оригінального мислення та проведення досліджень, критичного осмислення проблем інформаційних технологій та на межі галузей знань</w:t>
            </w:r>
            <w:r>
              <w:rPr>
                <w:szCs w:val="24"/>
                <w:lang w:val="uk-UA"/>
              </w:rPr>
              <w:t xml:space="preserve">. </w:t>
            </w:r>
            <w:r w:rsidRPr="001859B7">
              <w:rPr>
                <w:szCs w:val="24"/>
                <w:lang w:val="uk-UA"/>
              </w:rPr>
              <w:t>Аналізувати проблематику, ідентифікувати та формулювати конкретні проблеми, що потребують вирішення, обирати ефективні методи їх вирішення.</w:t>
            </w:r>
            <w:r>
              <w:rPr>
                <w:szCs w:val="24"/>
                <w:lang w:val="uk-UA"/>
              </w:rPr>
              <w:t xml:space="preserve"> </w:t>
            </w:r>
            <w:r w:rsidRPr="001859B7">
              <w:rPr>
                <w:szCs w:val="24"/>
                <w:lang w:val="uk-UA"/>
              </w:rPr>
              <w:t xml:space="preserve">Розробляти програмне </w:t>
            </w:r>
            <w:r w:rsidRPr="001859B7">
              <w:rPr>
                <w:szCs w:val="24"/>
                <w:lang w:val="uk-UA"/>
              </w:rPr>
              <w:lastRenderedPageBreak/>
              <w:t>забезпечення для вбудованих і розподілених застосувань, мобільних і гібридних систем</w:t>
            </w:r>
            <w:r>
              <w:rPr>
                <w:szCs w:val="24"/>
                <w:lang w:val="uk-UA"/>
              </w:rPr>
              <w:t xml:space="preserve">. </w:t>
            </w:r>
            <w:r w:rsidRPr="001859B7">
              <w:rPr>
                <w:szCs w:val="24"/>
                <w:lang w:val="uk-UA"/>
              </w:rPr>
              <w:t>Здійснювати пошук інформації в різних джерелах для розв’язання задач комп’ютерної інженерії, аналізувати та оцінювати цю інформацію.</w:t>
            </w:r>
            <w:r w:rsidR="00310490">
              <w:rPr>
                <w:szCs w:val="24"/>
                <w:lang w:val="uk-UA"/>
              </w:rPr>
              <w:t xml:space="preserve"> </w:t>
            </w:r>
            <w:r w:rsidR="00310490" w:rsidRPr="001859B7">
              <w:rPr>
                <w:szCs w:val="24"/>
                <w:lang w:val="uk-UA"/>
              </w:rPr>
              <w:t>Приймати ефективні рішення з питань розроблення, впровадження та експлуатації комп’ютерних систем і мереж, аналізувати альтернативи, оцінювати ризики та імовірні наслідки рішень.</w:t>
            </w:r>
            <w:r w:rsidR="00310490">
              <w:rPr>
                <w:szCs w:val="24"/>
                <w:lang w:val="uk-UA"/>
              </w:rPr>
              <w:t xml:space="preserve"> </w:t>
            </w:r>
            <w:r w:rsidR="00310490" w:rsidRPr="001859B7">
              <w:rPr>
                <w:szCs w:val="24"/>
                <w:lang w:val="uk-UA"/>
              </w:rPr>
              <w:t>Вільно спілкуватись усно і письмово українською мовою та однією з іноземних мов (англійською, німецькою, італійською, французькою, іспанською) при обговоренні професійних питань, досліджень та інновацій в галузі інформаційних технологій.</w:t>
            </w:r>
            <w:r w:rsidR="00310490">
              <w:rPr>
                <w:szCs w:val="24"/>
                <w:lang w:val="uk-UA"/>
              </w:rPr>
              <w:t xml:space="preserve"> </w:t>
            </w:r>
            <w:r w:rsidR="00310490" w:rsidRPr="00310490">
              <w:rPr>
                <w:szCs w:val="24"/>
                <w:lang w:val="uk-UA"/>
              </w:rPr>
              <w:t>Розробляти та експлуатувати апаратно-програмні засоби інтелектуальних комп’ютерних систем та мереж.</w:t>
            </w:r>
          </w:p>
        </w:tc>
      </w:tr>
      <w:bookmarkEnd w:id="3"/>
      <w:tr w:rsidR="00916E66" w:rsidRPr="005C3036" w14:paraId="284548A1" w14:textId="77777777" w:rsidTr="00C27C1E">
        <w:tc>
          <w:tcPr>
            <w:tcW w:w="566" w:type="dxa"/>
            <w:vAlign w:val="center"/>
          </w:tcPr>
          <w:p w14:paraId="1DA96D33" w14:textId="77777777" w:rsidR="00916E66" w:rsidRPr="005C3036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2690" w:type="dxa"/>
            <w:vAlign w:val="center"/>
          </w:tcPr>
          <w:p w14:paraId="07CEF49A" w14:textId="77777777" w:rsidR="00916E66" w:rsidRPr="005C3036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14:paraId="298A7ED4" w14:textId="77777777" w:rsidR="00916E66" w:rsidRPr="005C3036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1. Відпрацювати та захистити лабораторні роботи.</w:t>
            </w:r>
          </w:p>
          <w:p w14:paraId="41305E69" w14:textId="77777777" w:rsidR="00916E66" w:rsidRPr="005C3036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 xml:space="preserve">2. Виконати </w:t>
            </w:r>
            <w:r w:rsidR="00E41F3B" w:rsidRPr="005C3036">
              <w:rPr>
                <w:szCs w:val="24"/>
                <w:lang w:val="uk-UA"/>
              </w:rPr>
              <w:t>індивідуальне</w:t>
            </w:r>
            <w:r w:rsidRPr="005C3036">
              <w:rPr>
                <w:szCs w:val="24"/>
                <w:lang w:val="uk-UA"/>
              </w:rPr>
              <w:t xml:space="preserve"> </w:t>
            </w:r>
            <w:r w:rsidR="00E41F3B" w:rsidRPr="005C3036">
              <w:rPr>
                <w:szCs w:val="24"/>
                <w:lang w:val="uk-UA"/>
              </w:rPr>
              <w:t>завдання</w:t>
            </w:r>
            <w:r w:rsidRPr="005C3036">
              <w:rPr>
                <w:szCs w:val="24"/>
                <w:lang w:val="uk-UA"/>
              </w:rPr>
              <w:t xml:space="preserve">. </w:t>
            </w:r>
          </w:p>
          <w:p w14:paraId="77A2C259" w14:textId="77777777" w:rsidR="00916E66" w:rsidRPr="005C3036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4. Отримати за семестр не менше 60 балів.</w:t>
            </w:r>
          </w:p>
          <w:p w14:paraId="3A06D93A" w14:textId="77777777" w:rsidR="00916E66" w:rsidRPr="005C3036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 xml:space="preserve">5. </w:t>
            </w:r>
            <w:r w:rsidR="000F3C12" w:rsidRPr="005C3036">
              <w:rPr>
                <w:szCs w:val="24"/>
                <w:lang w:val="uk-UA"/>
              </w:rPr>
              <w:t>Залік</w:t>
            </w:r>
            <w:r w:rsidRPr="005C3036">
              <w:rPr>
                <w:szCs w:val="24"/>
                <w:lang w:val="uk-UA"/>
              </w:rPr>
              <w:t>.</w:t>
            </w:r>
          </w:p>
          <w:p w14:paraId="33C85A84" w14:textId="77777777" w:rsidR="00916E66" w:rsidRPr="005C3036" w:rsidRDefault="00916E66" w:rsidP="003104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5C3036">
              <w:rPr>
                <w:szCs w:val="24"/>
                <w:lang w:val="uk-UA"/>
              </w:rPr>
              <w:t>Оцінка за семестр (</w:t>
            </w:r>
            <w:r w:rsidRPr="005C3036">
              <w:rPr>
                <w:position w:val="-12"/>
                <w:szCs w:val="20"/>
                <w:lang w:val="uk-UA"/>
              </w:rPr>
              <w:object w:dxaOrig="440" w:dyaOrig="360" w14:anchorId="3BA60F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19.8pt" o:ole="">
                  <v:imagedata r:id="rId5" o:title=""/>
                </v:shape>
                <o:OLEObject Type="Embed" ProgID="Equation.DSMT4" ShapeID="_x0000_i1025" DrawAspect="Content" ObjectID="_1826814968" r:id="rId6"/>
              </w:object>
            </w:r>
            <w:r w:rsidRPr="005C3036">
              <w:rPr>
                <w:szCs w:val="20"/>
                <w:lang w:val="uk-UA"/>
              </w:rPr>
              <w:t xml:space="preserve">) розраховується як сума оцінок за різні види занять та контрольні заходи. </w:t>
            </w:r>
            <w:r w:rsidR="005C3036" w:rsidRPr="005C3036">
              <w:rPr>
                <w:szCs w:val="20"/>
                <w:lang w:val="uk-UA"/>
              </w:rPr>
              <w:t xml:space="preserve">Кожна лабораторна робота оцінюються в </w:t>
            </w:r>
            <w:r w:rsidR="005C3036" w:rsidRPr="005C3036">
              <w:rPr>
                <w:szCs w:val="28"/>
                <w:lang w:val="uk-UA"/>
              </w:rPr>
              <w:t xml:space="preserve">12÷20 балів, </w:t>
            </w:r>
            <w:r w:rsidR="005C3036" w:rsidRPr="005C3036">
              <w:rPr>
                <w:szCs w:val="20"/>
                <w:lang w:val="uk-UA"/>
              </w:rPr>
              <w:t xml:space="preserve">індивідуальне завдання оцінюються в </w:t>
            </w:r>
            <w:r w:rsidR="006145D7">
              <w:rPr>
                <w:szCs w:val="20"/>
                <w:lang w:val="uk-UA"/>
              </w:rPr>
              <w:t>12</w:t>
            </w:r>
            <w:r w:rsidR="005C3036" w:rsidRPr="005C3036">
              <w:rPr>
                <w:szCs w:val="28"/>
                <w:lang w:val="uk-UA"/>
              </w:rPr>
              <w:t>÷</w:t>
            </w:r>
            <w:r w:rsidR="006145D7">
              <w:rPr>
                <w:szCs w:val="28"/>
                <w:lang w:val="uk-UA"/>
              </w:rPr>
              <w:t>2</w:t>
            </w:r>
            <w:r w:rsidR="005C3036" w:rsidRPr="005C3036">
              <w:rPr>
                <w:szCs w:val="28"/>
                <w:lang w:val="uk-UA"/>
              </w:rPr>
              <w:t xml:space="preserve">0 </w:t>
            </w:r>
            <w:r w:rsidR="005C3036" w:rsidRPr="005C3036">
              <w:rPr>
                <w:szCs w:val="20"/>
                <w:lang w:val="uk-UA"/>
              </w:rPr>
              <w:t>балів. Максимальна рейтингова оцінка протягом семестру – 100 балів.</w:t>
            </w:r>
            <w:r w:rsidR="00310490">
              <w:rPr>
                <w:szCs w:val="20"/>
                <w:lang w:val="uk-UA"/>
              </w:rPr>
              <w:t xml:space="preserve"> </w:t>
            </w:r>
            <w:r w:rsidRPr="005C3036">
              <w:rPr>
                <w:szCs w:val="24"/>
                <w:lang w:val="uk-UA"/>
              </w:rPr>
              <w:t xml:space="preserve">Оцінка за </w:t>
            </w:r>
            <w:r w:rsidR="00FC7B08" w:rsidRPr="005C3036">
              <w:rPr>
                <w:szCs w:val="24"/>
                <w:lang w:val="uk-UA"/>
              </w:rPr>
              <w:t xml:space="preserve">семестр </w:t>
            </w:r>
            <w:r w:rsidR="005C3036" w:rsidRPr="005C3036">
              <w:rPr>
                <w:position w:val="-12"/>
                <w:szCs w:val="20"/>
                <w:lang w:val="uk-UA"/>
              </w:rPr>
              <w:object w:dxaOrig="440" w:dyaOrig="360" w14:anchorId="6CA53065">
                <v:shape id="_x0000_i1026" type="#_x0000_t75" style="width:24.6pt;height:19.8pt" o:ole="">
                  <v:imagedata r:id="rId5" o:title=""/>
                </v:shape>
                <o:OLEObject Type="Embed" ProgID="Equation.DSMT4" ShapeID="_x0000_i1026" DrawAspect="Content" ObjectID="_1826814969" r:id="rId7"/>
              </w:object>
            </w:r>
            <w:r w:rsidRPr="005C3036">
              <w:rPr>
                <w:lang w:val="uk-UA"/>
              </w:rPr>
              <w:t xml:space="preserve"> = </w:t>
            </w:r>
            <w:r w:rsidRPr="005C3036">
              <w:rPr>
                <w:szCs w:val="24"/>
                <w:lang w:val="uk-UA"/>
              </w:rPr>
              <w:t>(60</w:t>
            </w:r>
            <w:r w:rsidR="006145D7" w:rsidRPr="005C3036">
              <w:rPr>
                <w:szCs w:val="28"/>
                <w:lang w:val="uk-UA"/>
              </w:rPr>
              <w:t>÷</w:t>
            </w:r>
            <w:r w:rsidRPr="005C3036">
              <w:rPr>
                <w:szCs w:val="24"/>
                <w:lang w:val="uk-UA"/>
              </w:rPr>
              <w:t>100) балів.</w:t>
            </w:r>
          </w:p>
        </w:tc>
      </w:tr>
      <w:tr w:rsidR="00B4688E" w:rsidRPr="005C3036" w14:paraId="70E70A85" w14:textId="77777777" w:rsidTr="00C27C1E">
        <w:tc>
          <w:tcPr>
            <w:tcW w:w="566" w:type="dxa"/>
            <w:vAlign w:val="center"/>
          </w:tcPr>
          <w:p w14:paraId="050017B1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14:paraId="6F99948D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14:paraId="71E4C85A" w14:textId="45B4705E" w:rsidR="00B4688E" w:rsidRPr="005C3036" w:rsidRDefault="00DB6C32" w:rsidP="00505C08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8" w:history="1">
              <w:r w:rsidRPr="005C3036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5C3036">
              <w:rPr>
                <w:szCs w:val="24"/>
                <w:lang w:val="uk-UA"/>
              </w:rPr>
              <w:t>). Оновлення робочої програми дисципліни – 20</w:t>
            </w:r>
            <w:r w:rsidR="005C3036" w:rsidRPr="005C3036">
              <w:rPr>
                <w:szCs w:val="24"/>
                <w:lang w:val="uk-UA"/>
              </w:rPr>
              <w:t>2</w:t>
            </w:r>
            <w:r w:rsidR="009B4EE3">
              <w:rPr>
                <w:szCs w:val="24"/>
              </w:rPr>
              <w:t>5</w:t>
            </w:r>
            <w:r w:rsidRPr="005C3036">
              <w:rPr>
                <w:szCs w:val="24"/>
                <w:lang w:val="uk-UA"/>
              </w:rPr>
              <w:t xml:space="preserve"> р.</w:t>
            </w:r>
          </w:p>
        </w:tc>
      </w:tr>
      <w:tr w:rsidR="00B4688E" w:rsidRPr="005C3036" w14:paraId="410C90AE" w14:textId="77777777" w:rsidTr="00C27C1E">
        <w:tc>
          <w:tcPr>
            <w:tcW w:w="566" w:type="dxa"/>
            <w:vAlign w:val="center"/>
          </w:tcPr>
          <w:p w14:paraId="6A8B8AD2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14:paraId="065999E5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14:paraId="3671A67B" w14:textId="131E3693" w:rsidR="00B4688E" w:rsidRPr="005C3036" w:rsidRDefault="001F50EE" w:rsidP="00BB46B8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5C3036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5C3036">
              <w:rPr>
                <w:szCs w:val="24"/>
                <w:lang w:val="uk-UA"/>
              </w:rPr>
              <w:t>навчально</w:t>
            </w:r>
            <w:r w:rsidRPr="005C3036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5C3036">
              <w:rPr>
                <w:b/>
                <w:szCs w:val="24"/>
                <w:lang w:val="uk-UA"/>
              </w:rPr>
              <w:t>«</w:t>
            </w:r>
            <w:r w:rsidR="00BB46B8" w:rsidRPr="005C3036">
              <w:rPr>
                <w:szCs w:val="28"/>
                <w:lang w:val="uk-UA"/>
              </w:rPr>
              <w:t>Мультиагентні системи</w:t>
            </w:r>
            <w:r w:rsidRPr="005C3036">
              <w:rPr>
                <w:szCs w:val="24"/>
                <w:lang w:val="uk-UA"/>
              </w:rPr>
              <w:t xml:space="preserve">» для студентів спеціальності </w:t>
            </w:r>
            <w:r w:rsidR="009B4EE3">
              <w:rPr>
                <w:szCs w:val="24"/>
              </w:rPr>
              <w:t>F</w:t>
            </w:r>
            <w:r w:rsidR="009B4EE3">
              <w:rPr>
                <w:szCs w:val="24"/>
                <w:lang w:val="uk-UA"/>
              </w:rPr>
              <w:t>7</w:t>
            </w:r>
            <w:r w:rsidRPr="005C3036">
              <w:rPr>
                <w:szCs w:val="24"/>
                <w:lang w:val="uk-UA"/>
              </w:rPr>
              <w:t xml:space="preserve"> «Комп’ютерна інженерія» за освітньою програмою «Комп’ютерні інтелектуальні технології», галузі знань </w:t>
            </w:r>
            <w:r w:rsidR="009B4EE3">
              <w:rPr>
                <w:szCs w:val="24"/>
              </w:rPr>
              <w:t>F</w:t>
            </w:r>
            <w:r w:rsidRPr="005C3036">
              <w:rPr>
                <w:szCs w:val="24"/>
                <w:lang w:val="uk-UA"/>
              </w:rPr>
              <w:t xml:space="preserve"> «Інформаційні технології»</w:t>
            </w:r>
            <w:r w:rsidRPr="005C3036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proofErr w:type="spellStart"/>
            <w:r w:rsidRPr="005C3036">
              <w:rPr>
                <w:szCs w:val="24"/>
                <w:lang w:val="uk-UA"/>
              </w:rPr>
              <w:t>Розр</w:t>
            </w:r>
            <w:proofErr w:type="spellEnd"/>
            <w:r w:rsidRPr="005C3036">
              <w:rPr>
                <w:szCs w:val="24"/>
                <w:lang w:val="uk-UA"/>
              </w:rPr>
              <w:t xml:space="preserve">.: </w:t>
            </w:r>
            <w:r w:rsidR="00505C08" w:rsidRPr="005C3036">
              <w:rPr>
                <w:szCs w:val="24"/>
                <w:lang w:val="uk-UA"/>
              </w:rPr>
              <w:t xml:space="preserve">Н.Г. </w:t>
            </w:r>
            <w:proofErr w:type="spellStart"/>
            <w:r w:rsidR="00505C08" w:rsidRPr="005C3036">
              <w:rPr>
                <w:szCs w:val="24"/>
                <w:lang w:val="uk-UA"/>
              </w:rPr>
              <w:t>Аксак</w:t>
            </w:r>
            <w:proofErr w:type="spellEnd"/>
            <w:r w:rsidRPr="005C3036">
              <w:rPr>
                <w:szCs w:val="24"/>
                <w:lang w:val="uk-UA"/>
              </w:rPr>
              <w:t xml:space="preserve"> – Харків: ХНУРЕ, 20</w:t>
            </w:r>
            <w:r w:rsidR="005C3036" w:rsidRPr="005C3036">
              <w:rPr>
                <w:szCs w:val="24"/>
                <w:lang w:val="uk-UA"/>
              </w:rPr>
              <w:t>2</w:t>
            </w:r>
            <w:r w:rsidR="009B4EE3" w:rsidRPr="009B4EE3">
              <w:rPr>
                <w:szCs w:val="24"/>
                <w:lang w:val="uk-UA"/>
              </w:rPr>
              <w:t>5</w:t>
            </w:r>
            <w:r w:rsidRPr="005C3036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9" w:history="1">
              <w:r w:rsidRPr="005C3036">
                <w:rPr>
                  <w:rStyle w:val="a4"/>
                  <w:color w:val="auto"/>
                  <w:szCs w:val="24"/>
                  <w:lang w:val="uk-UA"/>
                </w:rPr>
                <w:t>http://catalogue.nure.ua</w:t>
              </w:r>
              <w:r w:rsidRPr="005C3036">
                <w:rPr>
                  <w:rStyle w:val="a4"/>
                  <w:color w:val="auto"/>
                  <w:szCs w:val="24"/>
                  <w:lang w:val="uk-UA"/>
                </w:rPr>
                <w:t>/</w:t>
              </w:r>
              <w:r w:rsidRPr="005C3036">
                <w:rPr>
                  <w:rStyle w:val="a4"/>
                  <w:color w:val="auto"/>
                  <w:szCs w:val="24"/>
                  <w:lang w:val="uk-UA"/>
                </w:rPr>
                <w:t>knmz</w:t>
              </w:r>
            </w:hyperlink>
            <w:r w:rsidRPr="005C3036">
              <w:rPr>
                <w:szCs w:val="24"/>
                <w:lang w:val="uk-UA"/>
              </w:rPr>
              <w:t>.</w:t>
            </w:r>
          </w:p>
        </w:tc>
      </w:tr>
      <w:tr w:rsidR="00B4688E" w:rsidRPr="005C3036" w14:paraId="6AE97D50" w14:textId="77777777" w:rsidTr="00C27C1E">
        <w:tc>
          <w:tcPr>
            <w:tcW w:w="566" w:type="dxa"/>
            <w:vAlign w:val="center"/>
          </w:tcPr>
          <w:p w14:paraId="1A172E71" w14:textId="77777777" w:rsidR="00B4688E" w:rsidRPr="005C3036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14:paraId="065D669E" w14:textId="77777777" w:rsidR="00B4688E" w:rsidRPr="005C3036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5C3036">
              <w:rPr>
                <w:rStyle w:val="Bodytext20"/>
                <w:sz w:val="24"/>
                <w:szCs w:val="24"/>
              </w:rPr>
              <w:t xml:space="preserve">Розробник </w:t>
            </w:r>
            <w:proofErr w:type="spellStart"/>
            <w:r w:rsidRPr="005C3036">
              <w:rPr>
                <w:rStyle w:val="Bodytext20"/>
                <w:sz w:val="24"/>
                <w:szCs w:val="24"/>
              </w:rPr>
              <w:t>силабусу</w:t>
            </w:r>
            <w:proofErr w:type="spellEnd"/>
          </w:p>
        </w:tc>
        <w:tc>
          <w:tcPr>
            <w:tcW w:w="6423" w:type="dxa"/>
            <w:vAlign w:val="center"/>
          </w:tcPr>
          <w:p w14:paraId="48366C67" w14:textId="77777777" w:rsidR="00B4688E" w:rsidRPr="005C3036" w:rsidRDefault="00E57E4F" w:rsidP="00E57E4F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5C3036">
              <w:rPr>
                <w:szCs w:val="24"/>
                <w:lang w:val="uk-UA"/>
              </w:rPr>
              <w:t xml:space="preserve">Н.Г. </w:t>
            </w:r>
            <w:proofErr w:type="spellStart"/>
            <w:r w:rsidRPr="005C3036">
              <w:rPr>
                <w:szCs w:val="24"/>
                <w:lang w:val="uk-UA"/>
              </w:rPr>
              <w:t>Аксак</w:t>
            </w:r>
            <w:proofErr w:type="spellEnd"/>
            <w:r w:rsidR="007E4DAE" w:rsidRPr="005C3036">
              <w:rPr>
                <w:szCs w:val="24"/>
                <w:lang w:val="uk-UA"/>
              </w:rPr>
              <w:t xml:space="preserve">, </w:t>
            </w:r>
            <w:proofErr w:type="spellStart"/>
            <w:r w:rsidR="007E4DAE" w:rsidRPr="005C3036">
              <w:rPr>
                <w:szCs w:val="24"/>
                <w:lang w:val="uk-UA"/>
              </w:rPr>
              <w:t>д.т.н</w:t>
            </w:r>
            <w:proofErr w:type="spellEnd"/>
            <w:r w:rsidR="007E4DAE" w:rsidRPr="005C3036">
              <w:rPr>
                <w:szCs w:val="24"/>
                <w:lang w:val="uk-UA"/>
              </w:rPr>
              <w:t>., професор</w:t>
            </w:r>
            <w:r w:rsidRPr="005C3036">
              <w:rPr>
                <w:szCs w:val="24"/>
                <w:lang w:val="uk-UA"/>
              </w:rPr>
              <w:t xml:space="preserve"> кафедри КІТС</w:t>
            </w:r>
          </w:p>
        </w:tc>
      </w:tr>
    </w:tbl>
    <w:p w14:paraId="1A79545C" w14:textId="77777777" w:rsidR="00B4688E" w:rsidRPr="005C3036" w:rsidRDefault="00B4688E" w:rsidP="00310490">
      <w:pPr>
        <w:rPr>
          <w:sz w:val="28"/>
          <w:szCs w:val="28"/>
          <w:lang w:val="uk-UA"/>
        </w:rPr>
      </w:pPr>
    </w:p>
    <w:sectPr w:rsidR="00B4688E" w:rsidRPr="005C3036" w:rsidSect="00167C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66AD8"/>
    <w:multiLevelType w:val="hybridMultilevel"/>
    <w:tmpl w:val="03BA6B20"/>
    <w:lvl w:ilvl="0" w:tplc="FFFFFFFF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044674">
    <w:abstractNumId w:val="11"/>
  </w:num>
  <w:num w:numId="2" w16cid:durableId="580216157">
    <w:abstractNumId w:val="9"/>
  </w:num>
  <w:num w:numId="3" w16cid:durableId="1707638770">
    <w:abstractNumId w:val="7"/>
  </w:num>
  <w:num w:numId="4" w16cid:durableId="811630195">
    <w:abstractNumId w:val="6"/>
  </w:num>
  <w:num w:numId="5" w16cid:durableId="1171796755">
    <w:abstractNumId w:val="5"/>
  </w:num>
  <w:num w:numId="6" w16cid:durableId="373778186">
    <w:abstractNumId w:val="4"/>
  </w:num>
  <w:num w:numId="7" w16cid:durableId="740324157">
    <w:abstractNumId w:val="8"/>
  </w:num>
  <w:num w:numId="8" w16cid:durableId="1212841270">
    <w:abstractNumId w:val="3"/>
  </w:num>
  <w:num w:numId="9" w16cid:durableId="1245723828">
    <w:abstractNumId w:val="2"/>
  </w:num>
  <w:num w:numId="10" w16cid:durableId="66806812">
    <w:abstractNumId w:val="1"/>
  </w:num>
  <w:num w:numId="11" w16cid:durableId="1647007114">
    <w:abstractNumId w:val="0"/>
  </w:num>
  <w:num w:numId="12" w16cid:durableId="1339043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AA"/>
    <w:rsid w:val="00012672"/>
    <w:rsid w:val="00022695"/>
    <w:rsid w:val="00034D98"/>
    <w:rsid w:val="00040B44"/>
    <w:rsid w:val="00051D11"/>
    <w:rsid w:val="0008612D"/>
    <w:rsid w:val="0009304E"/>
    <w:rsid w:val="000C2EBA"/>
    <w:rsid w:val="000C63D2"/>
    <w:rsid w:val="000E029E"/>
    <w:rsid w:val="000F05A6"/>
    <w:rsid w:val="000F3C12"/>
    <w:rsid w:val="000F661F"/>
    <w:rsid w:val="0010066D"/>
    <w:rsid w:val="00113ECB"/>
    <w:rsid w:val="00135301"/>
    <w:rsid w:val="001647C9"/>
    <w:rsid w:val="00167CDC"/>
    <w:rsid w:val="00195070"/>
    <w:rsid w:val="00197FF0"/>
    <w:rsid w:val="001B7280"/>
    <w:rsid w:val="001D61C7"/>
    <w:rsid w:val="001F50EE"/>
    <w:rsid w:val="0020691B"/>
    <w:rsid w:val="00211B1E"/>
    <w:rsid w:val="002260C9"/>
    <w:rsid w:val="00236801"/>
    <w:rsid w:val="0024461C"/>
    <w:rsid w:val="00260BEF"/>
    <w:rsid w:val="00270C95"/>
    <w:rsid w:val="00291DB8"/>
    <w:rsid w:val="002A6719"/>
    <w:rsid w:val="002B5B64"/>
    <w:rsid w:val="00306D0E"/>
    <w:rsid w:val="00310490"/>
    <w:rsid w:val="0032049F"/>
    <w:rsid w:val="003218FE"/>
    <w:rsid w:val="00333519"/>
    <w:rsid w:val="00386705"/>
    <w:rsid w:val="003941AB"/>
    <w:rsid w:val="00396360"/>
    <w:rsid w:val="003A21A9"/>
    <w:rsid w:val="003A25F1"/>
    <w:rsid w:val="003B7D57"/>
    <w:rsid w:val="003F4836"/>
    <w:rsid w:val="00402224"/>
    <w:rsid w:val="00424FE4"/>
    <w:rsid w:val="00431388"/>
    <w:rsid w:val="00450957"/>
    <w:rsid w:val="004A68C7"/>
    <w:rsid w:val="00505C08"/>
    <w:rsid w:val="005C3036"/>
    <w:rsid w:val="005F0F57"/>
    <w:rsid w:val="006145D7"/>
    <w:rsid w:val="0065044C"/>
    <w:rsid w:val="00652161"/>
    <w:rsid w:val="0066091A"/>
    <w:rsid w:val="006749A5"/>
    <w:rsid w:val="00681B4B"/>
    <w:rsid w:val="00705B98"/>
    <w:rsid w:val="00717A56"/>
    <w:rsid w:val="007576FD"/>
    <w:rsid w:val="007E4DAE"/>
    <w:rsid w:val="007F01C8"/>
    <w:rsid w:val="007F14A9"/>
    <w:rsid w:val="0084279F"/>
    <w:rsid w:val="00871A82"/>
    <w:rsid w:val="00876505"/>
    <w:rsid w:val="0088294F"/>
    <w:rsid w:val="008847ED"/>
    <w:rsid w:val="008B550D"/>
    <w:rsid w:val="008E1788"/>
    <w:rsid w:val="00916E66"/>
    <w:rsid w:val="00922B4A"/>
    <w:rsid w:val="00932733"/>
    <w:rsid w:val="00961D7D"/>
    <w:rsid w:val="00963914"/>
    <w:rsid w:val="009B4EE3"/>
    <w:rsid w:val="00A12A71"/>
    <w:rsid w:val="00A207D1"/>
    <w:rsid w:val="00A34081"/>
    <w:rsid w:val="00B077EC"/>
    <w:rsid w:val="00B419C3"/>
    <w:rsid w:val="00B4688E"/>
    <w:rsid w:val="00BB46B8"/>
    <w:rsid w:val="00C1747F"/>
    <w:rsid w:val="00C27C1E"/>
    <w:rsid w:val="00C36398"/>
    <w:rsid w:val="00CE7274"/>
    <w:rsid w:val="00CF6DAA"/>
    <w:rsid w:val="00D02F2E"/>
    <w:rsid w:val="00D04A88"/>
    <w:rsid w:val="00D11019"/>
    <w:rsid w:val="00D27F0F"/>
    <w:rsid w:val="00D4219E"/>
    <w:rsid w:val="00D463EC"/>
    <w:rsid w:val="00D71342"/>
    <w:rsid w:val="00DB6C32"/>
    <w:rsid w:val="00DD0865"/>
    <w:rsid w:val="00DD1B79"/>
    <w:rsid w:val="00E41F3B"/>
    <w:rsid w:val="00E52AE3"/>
    <w:rsid w:val="00E57E4F"/>
    <w:rsid w:val="00E7513D"/>
    <w:rsid w:val="00EC08D7"/>
    <w:rsid w:val="00ED50F8"/>
    <w:rsid w:val="00F56E9E"/>
    <w:rsid w:val="00F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049DD"/>
  <w15:chartTrackingRefBased/>
  <w15:docId w15:val="{6350CC3E-7167-4297-856E-61B50899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rsid w:val="00D713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29pt">
    <w:name w:val="Body text (2) + 9 pt"/>
    <w:aliases w:val="Bold"/>
    <w:rsid w:val="00D71342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Bodytext2SmallCaps">
    <w:name w:val="Body text (2) + Small Caps"/>
    <w:rsid w:val="00D71342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rsid w:val="00DB6C32"/>
    <w:rPr>
      <w:color w:val="800080"/>
      <w:u w:val="single"/>
    </w:rPr>
  </w:style>
  <w:style w:type="paragraph" w:customStyle="1" w:styleId="a6">
    <w:name w:val=" 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FontStyle59">
    <w:name w:val="Font Style59"/>
    <w:rsid w:val="00270C95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ue.nure.ua/knmz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4077</Words>
  <Characters>2324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Харківський національний університет радіоелектроніки</vt:lpstr>
      <vt:lpstr>Харківський національний університет радіоелектроніки</vt:lpstr>
    </vt:vector>
  </TitlesOfParts>
  <Company/>
  <LinksUpToDate>false</LinksUpToDate>
  <CharactersWithSpaces>6389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subject/>
  <dc:creator>admin</dc:creator>
  <cp:keywords/>
  <cp:lastModifiedBy>Natalia Axak</cp:lastModifiedBy>
  <cp:revision>3</cp:revision>
  <dcterms:created xsi:type="dcterms:W3CDTF">2025-12-09T17:18:00Z</dcterms:created>
  <dcterms:modified xsi:type="dcterms:W3CDTF">2025-12-09T17:50:00Z</dcterms:modified>
</cp:coreProperties>
</file>